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C41B97" w:rsidP="0061401D">
      <w:bookmarkStart w:id="0" w:name="_Toc487029154"/>
      <w:bookmarkStart w:id="1" w:name="_Toc488619463"/>
      <w:bookmarkStart w:id="2" w:name="_Toc498006009"/>
      <w:r>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66749B" w:rsidRDefault="0066749B" w:rsidP="0061401D">
                  <w:pPr>
                    <w:rPr>
                      <w:rFonts w:eastAsia="Times New Roman" w:cs="Arial"/>
                      <w:i/>
                      <w:szCs w:val="24"/>
                      <w:lang w:eastAsia="ar-SA"/>
                    </w:rPr>
                  </w:pPr>
                  <w:r>
                    <w:rPr>
                      <w:rFonts w:asciiTheme="minorHAnsi" w:eastAsiaTheme="minorHAnsi" w:hAnsiTheme="minorHAnsi" w:cstheme="minorBidi"/>
                      <w:noProof/>
                      <w:sz w:val="20"/>
                      <w:szCs w:val="20"/>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66749B" w:rsidRDefault="0066749B"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0C57EE" w:rsidRPr="009914E0" w:rsidRDefault="000C57EE" w:rsidP="000C57EE">
      <w:pPr>
        <w:pStyle w:val="Heading1"/>
        <w:spacing w:before="120" w:after="120" w:line="240" w:lineRule="auto"/>
        <w:rPr>
          <w:rFonts w:asciiTheme="minorHAnsi" w:eastAsia="Calibri" w:hAnsiTheme="minorHAnsi" w:cstheme="minorHAnsi"/>
          <w:color w:val="auto"/>
          <w:sz w:val="24"/>
        </w:rPr>
      </w:pPr>
      <w:r w:rsidRPr="0096546F">
        <w:rPr>
          <w:rFonts w:asciiTheme="minorHAnsi" w:hAnsiTheme="minorHAnsi" w:cstheme="minorHAnsi"/>
          <w:color w:val="auto"/>
          <w:sz w:val="24"/>
        </w:rPr>
        <w:lastRenderedPageBreak/>
        <w:t xml:space="preserve">E1.2L FIȘA DE EVALUARE  GENERALĂ A PROIECTULUI </w:t>
      </w:r>
      <w:r w:rsidRPr="0096546F">
        <w:rPr>
          <w:rFonts w:asciiTheme="minorHAnsi" w:eastAsia="Calibri" w:hAnsiTheme="minorHAnsi" w:cstheme="minorHAnsi"/>
          <w:color w:val="auto"/>
          <w:sz w:val="24"/>
        </w:rPr>
        <w:t>(</w:t>
      </w:r>
      <w:r w:rsidRPr="0096546F">
        <w:rPr>
          <w:rFonts w:asciiTheme="minorHAnsi" w:eastAsia="Calibri" w:hAnsiTheme="minorHAnsi" w:cstheme="minorHAnsi"/>
          <w:i/>
          <w:color w:val="auto"/>
          <w:sz w:val="24"/>
        </w:rPr>
        <w:t>art. 17, alin. (1), lit. c), d) art. 20, alin. (1), lit. b), c), d), e), f) și g) din Reg. (UE) nr. 1305/2013</w:t>
      </w:r>
      <w:r w:rsidRPr="0096546F">
        <w:rPr>
          <w:rFonts w:asciiTheme="minorHAnsi" w:eastAsia="Calibri" w:hAnsiTheme="minorHAnsi" w:cstheme="minorHAnsi"/>
          <w:color w:val="auto"/>
          <w:sz w:val="24"/>
        </w:rPr>
        <w:t>)</w:t>
      </w:r>
      <w:bookmarkEnd w:id="0"/>
      <w:bookmarkEnd w:id="1"/>
      <w:bookmarkEnd w:id="2"/>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i/>
          <w:sz w:val="24"/>
        </w:rPr>
        <w:t>cu obiective care se încadrează în prevederile art. 17,alin. (1), lit. c), d) art. 20, alin. (1), lit. b), c), d), e), f)</w:t>
      </w:r>
      <w:r w:rsidRPr="0096546F">
        <w:rPr>
          <w:rStyle w:val="FootnoteReference"/>
          <w:rFonts w:asciiTheme="minorHAnsi" w:hAnsiTheme="minorHAnsi" w:cstheme="minorHAnsi"/>
          <w:i/>
          <w:sz w:val="24"/>
        </w:rPr>
        <w:footnoteReference w:id="2"/>
      </w:r>
      <w:r w:rsidRPr="0096546F">
        <w:rPr>
          <w:rFonts w:asciiTheme="minorHAnsi" w:hAnsiTheme="minorHAnsi" w:cstheme="minorHAnsi"/>
          <w:b/>
          <w:i/>
          <w:sz w:val="24"/>
        </w:rPr>
        <w:t xml:space="preserve"> și </w:t>
      </w:r>
      <w:r w:rsidRPr="0096546F">
        <w:rPr>
          <w:rFonts w:asciiTheme="minorHAnsi" w:hAnsiTheme="minorHAnsi" w:cstheme="minorHAnsi"/>
          <w:b/>
          <w:i/>
          <w:sz w:val="24"/>
          <w:szCs w:val="24"/>
        </w:rPr>
        <w:t>g</w:t>
      </w:r>
      <w:r w:rsidRPr="0096546F">
        <w:rPr>
          <w:rFonts w:asciiTheme="minorHAnsi" w:hAnsiTheme="minorHAnsi" w:cstheme="minorHAnsi"/>
          <w:b/>
          <w:i/>
          <w:sz w:val="24"/>
        </w:rPr>
        <w:t>)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C41B97" w:rsidP="007F49A1">
      <w:pPr>
        <w:spacing w:after="0"/>
        <w:rPr>
          <w:rFonts w:asciiTheme="minorHAnsi" w:hAnsiTheme="minorHAnsi" w:cstheme="minorHAnsi"/>
          <w:bCs/>
        </w:rPr>
      </w:pPr>
      <w:r w:rsidRPr="00C41B97">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66749B" w:rsidRDefault="0066749B" w:rsidP="007F49A1">
                  <w:pPr>
                    <w:spacing w:after="0" w:line="240" w:lineRule="auto"/>
                    <w:ind w:right="-142" w:hanging="142"/>
                    <w:jc w:val="center"/>
                    <w:rPr>
                      <w:b/>
                      <w:sz w:val="24"/>
                      <w:szCs w:val="24"/>
                    </w:rPr>
                  </w:pPr>
                </w:p>
                <w:p w:rsidR="0066749B" w:rsidRDefault="0066749B" w:rsidP="007F49A1">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66749B" w:rsidRDefault="0066749B"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lastRenderedPageBreak/>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7"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7"/>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8" w:name="_Hlk493751586"/>
            <w:r w:rsidRPr="0096546F">
              <w:rPr>
                <w:rFonts w:asciiTheme="minorHAnsi" w:hAnsiTheme="minorHAnsi" w:cstheme="minorHAnsi"/>
                <w:b/>
                <w:bCs/>
              </w:rPr>
              <w:t>Certificatul de cazier judiciar</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 xml:space="preserve">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w:t>
            </w:r>
            <w:r w:rsidRPr="0096546F">
              <w:rPr>
                <w:rFonts w:asciiTheme="minorHAnsi" w:hAnsiTheme="minorHAnsi" w:cstheme="minorHAnsi"/>
                <w:b/>
                <w:bCs/>
              </w:rPr>
              <w:lastRenderedPageBreak/>
              <w:t>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lastRenderedPageBreak/>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9"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9"/>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0" w:name="_Hlk493751956"/>
            <w:r w:rsidRPr="0096546F">
              <w:rPr>
                <w:rFonts w:asciiTheme="minorHAnsi" w:hAnsiTheme="minorHAnsi" w:cstheme="minorHAnsi"/>
                <w:b/>
                <w:bCs/>
              </w:rPr>
              <w:t>Copia Documentului de identitate al reprezentantului legal al beneficiarului.</w:t>
            </w:r>
            <w:bookmarkEnd w:id="10"/>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1" w:name="_Hlk493752019"/>
            <w:r w:rsidRPr="0096546F">
              <w:rPr>
                <w:rFonts w:asciiTheme="minorHAnsi" w:hAnsiTheme="minorHAnsi" w:cstheme="minorHAnsi"/>
                <w:b/>
                <w:bCs/>
              </w:rPr>
              <w:t>Dovada achitarii integrale a datoriei față de AFIR, inclusiv dobânzile și majorările de întârziere, dacă este cazul</w:t>
            </w:r>
            <w:bookmarkEnd w:id="11"/>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lastRenderedPageBreak/>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C41B97"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C41B97" w:rsidP="007F49A1">
      <w:pPr>
        <w:spacing w:after="120"/>
        <w:rPr>
          <w:rFonts w:asciiTheme="minorHAnsi" w:hAnsiTheme="minorHAnsi" w:cstheme="minorHAnsi"/>
          <w:b/>
        </w:rPr>
      </w:pPr>
      <w:r>
        <w:rPr>
          <w:rFonts w:asciiTheme="minorHAnsi" w:hAnsiTheme="minorHAnsi" w:cstheme="minorHAnsi"/>
          <w:b/>
          <w:noProof/>
        </w:rPr>
        <w:pict>
          <v:rect id="Rectangle 19" o:spid="_x0000_s1050" style="position:absolute;margin-left:422.3pt;margin-top:.9pt;width:98.25pt;height:69pt;z-index:251665408;visibility:visible" filled="f">
            <v:textbox>
              <w:txbxContent>
                <w:p w:rsidR="0066749B" w:rsidRPr="00CF1758" w:rsidRDefault="0066749B" w:rsidP="007F49A1">
                  <w:pPr>
                    <w:jc w:val="center"/>
                    <w:rPr>
                      <w:rFonts w:ascii="Trebuchet MS" w:hAnsi="Trebuchet MS"/>
                    </w:rPr>
                  </w:pPr>
                  <w:r w:rsidRPr="00CF1758">
                    <w:rPr>
                      <w:rFonts w:ascii="Trebuchet MS" w:eastAsia="Times New Roman" w:hAnsi="Trebuchet MS"/>
                      <w:bCs/>
                      <w:i/>
                    </w:rPr>
                    <w:t>Ştampila</w:t>
                  </w:r>
                </w:p>
              </w:txbxContent>
            </v:textbox>
          </v:rect>
        </w:pict>
      </w:r>
      <w:r w:rsidR="007F49A1"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C41B97" w:rsidP="007F49A1">
      <w:pPr>
        <w:spacing w:after="120"/>
        <w:rPr>
          <w:rFonts w:asciiTheme="minorHAnsi" w:hAnsiTheme="minorHAnsi" w:cstheme="minorHAnsi"/>
          <w:b/>
        </w:rPr>
      </w:pPr>
      <w:r w:rsidRPr="00C41B97">
        <w:rPr>
          <w:rFonts w:asciiTheme="minorHAnsi" w:hAnsiTheme="minorHAnsi" w:cstheme="minorHAnsi"/>
          <w:b/>
          <w:i/>
          <w:noProof/>
        </w:rPr>
        <w:lastRenderedPageBreak/>
        <w:pict>
          <v:rect id="_x0000_s1051" style="position:absolute;margin-left:370.5pt;margin-top:15.6pt;width:128.55pt;height:70pt;z-index:251666432;visibility:visible" filled="f">
            <v:textbox>
              <w:txbxContent>
                <w:p w:rsidR="0066749B" w:rsidRPr="0052390A" w:rsidRDefault="0066749B" w:rsidP="007F49A1">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66749B" w:rsidRPr="0052390A" w:rsidRDefault="0066749B" w:rsidP="007F49A1">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w:t>
                  </w:r>
                  <w:proofErr w:type="gramEnd"/>
                  <w:r w:rsidRPr="0052390A">
                    <w:rPr>
                      <w:rFonts w:ascii="Trebuchet MS" w:eastAsia="Times New Roman" w:hAnsi="Trebuchet MS"/>
                      <w:bCs/>
                      <w:i/>
                      <w:lang w:val="fr-FR"/>
                    </w:rPr>
                    <w:t xml:space="preserve"> pentru beneficiari publici)</w:t>
                  </w:r>
                </w:p>
              </w:txbxContent>
            </v:textbox>
          </v:rect>
        </w:pict>
      </w:r>
      <w:r w:rsidR="007F49A1"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5D2232" w:rsidRDefault="005D2232"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C41B97" w:rsidP="00E81E2C">
      <w:pPr>
        <w:spacing w:line="20" w:lineRule="atLeast"/>
        <w:ind w:left="209"/>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C41B97" w:rsidP="00E81E2C">
      <w:pPr>
        <w:spacing w:after="120"/>
        <w:rPr>
          <w:rFonts w:asciiTheme="minorHAnsi" w:hAnsiTheme="minorHAnsi" w:cstheme="minorHAnsi"/>
          <w:b/>
        </w:rPr>
      </w:pPr>
      <w:r>
        <w:rPr>
          <w:rFonts w:asciiTheme="minorHAnsi" w:hAnsiTheme="minorHAnsi" w:cstheme="minorHAnsi"/>
          <w:b/>
          <w:noProof/>
        </w:rPr>
        <w:pict>
          <v:rect id="_x0000_s1088" style="position:absolute;margin-left:422.3pt;margin-top:.9pt;width:98.25pt;height:69pt;z-index:251697152;visibility:visible" filled="f">
            <v:textbox>
              <w:txbxContent>
                <w:p w:rsidR="0066749B" w:rsidRPr="00CF1758" w:rsidRDefault="0066749B" w:rsidP="00E81E2C">
                  <w:pPr>
                    <w:jc w:val="center"/>
                    <w:rPr>
                      <w:rFonts w:ascii="Trebuchet MS" w:hAnsi="Trebuchet MS"/>
                    </w:rPr>
                  </w:pPr>
                  <w:r w:rsidRPr="00CF1758">
                    <w:rPr>
                      <w:rFonts w:ascii="Trebuchet MS" w:eastAsia="Times New Roman" w:hAnsi="Trebuchet MS"/>
                      <w:bCs/>
                      <w:i/>
                    </w:rPr>
                    <w:t>Ştampila</w:t>
                  </w:r>
                </w:p>
              </w:txbxContent>
            </v:textbox>
          </v:rect>
        </w:pict>
      </w:r>
      <w:r w:rsidR="00E81E2C"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C41B97" w:rsidP="00E81E2C">
      <w:pPr>
        <w:pStyle w:val="Heading2"/>
        <w:spacing w:before="51"/>
        <w:ind w:left="217" w:right="6740"/>
        <w:rPr>
          <w:rFonts w:asciiTheme="minorHAnsi" w:hAnsiTheme="minorHAnsi" w:cstheme="minorHAnsi"/>
          <w:spacing w:val="-1"/>
        </w:rPr>
      </w:pPr>
      <w:r w:rsidRPr="00C41B97">
        <w:rPr>
          <w:rFonts w:asciiTheme="minorHAnsi" w:hAnsiTheme="minorHAnsi" w:cstheme="minorHAnsi"/>
        </w:rPr>
        <w:pict>
          <v:shape id="_x0000_s1087" type="#_x0000_t202" style="position:absolute;left:0;text-align:left;margin-left:302.7pt;margin-top:4.7pt;width:207.3pt;height:66.75pt;z-index:251696128;mso-position-horizontal-relative:page" filled="f">
            <v:textbox inset="0,0,0,0">
              <w:txbxContent>
                <w:p w:rsidR="0066749B" w:rsidRDefault="0066749B" w:rsidP="00E81E2C">
                  <w:pPr>
                    <w:pStyle w:val="BodyText"/>
                    <w:spacing w:before="68"/>
                    <w:ind w:left="1991"/>
                  </w:pPr>
                  <w:r>
                    <w:rPr>
                      <w:spacing w:val="-1"/>
                    </w:rPr>
                    <w:t>Ș</w:t>
                  </w:r>
                  <w:r>
                    <w:rPr>
                      <w:rFonts w:ascii="Times New Roman" w:hAnsi="Times New Roman"/>
                      <w:spacing w:val="-1"/>
                    </w:rPr>
                    <w:t>tampila</w:t>
                  </w:r>
                </w:p>
                <w:p w:rsidR="0066749B" w:rsidRDefault="0066749B" w:rsidP="00E81E2C">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E81E2C" w:rsidRPr="0096546F">
        <w:rPr>
          <w:rFonts w:asciiTheme="minorHAnsi" w:hAnsiTheme="minorHAnsi" w:cstheme="minorHAnsi"/>
        </w:rPr>
        <w:t xml:space="preserve">Am </w:t>
      </w:r>
      <w:r w:rsidR="00E81E2C" w:rsidRPr="0096546F">
        <w:rPr>
          <w:rFonts w:asciiTheme="minorHAnsi" w:hAnsiTheme="minorHAnsi" w:cstheme="minorHAnsi"/>
          <w:spacing w:val="-1"/>
        </w:rPr>
        <w:t xml:space="preserve">luat </w:t>
      </w:r>
      <w:r w:rsidR="00E81E2C" w:rsidRPr="0096546F">
        <w:rPr>
          <w:rFonts w:asciiTheme="minorHAnsi" w:hAnsiTheme="minorHAnsi" w:cstheme="minorHAnsi"/>
        </w:rPr>
        <w:t>la</w:t>
      </w:r>
      <w:r w:rsidR="00E81E2C"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C41B97" w:rsidP="009C410A">
      <w:pPr>
        <w:spacing w:before="2"/>
        <w:rPr>
          <w:rFonts w:asciiTheme="minorHAnsi" w:hAnsiTheme="minorHAnsi" w:cstheme="minorHAnsi"/>
          <w:i/>
          <w:sz w:val="11"/>
          <w:szCs w:val="11"/>
        </w:rPr>
      </w:pPr>
      <w:r w:rsidRPr="00C41B97">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Default="00121A2A" w:rsidP="000C57EE">
      <w:pPr>
        <w:pStyle w:val="BodyText3"/>
        <w:spacing w:before="120"/>
        <w:jc w:val="both"/>
        <w:rPr>
          <w:rFonts w:asciiTheme="minorHAnsi" w:hAnsiTheme="minorHAnsi" w:cstheme="minorHAnsi"/>
          <w:i/>
          <w:sz w:val="24"/>
          <w:szCs w:val="24"/>
        </w:rPr>
      </w:pPr>
    </w:p>
    <w:p w:rsidR="00121A2A" w:rsidRDefault="00121A2A" w:rsidP="000C57EE">
      <w:pPr>
        <w:pStyle w:val="BodyText3"/>
        <w:spacing w:before="120"/>
        <w:jc w:val="both"/>
        <w:rPr>
          <w:rFonts w:asciiTheme="minorHAnsi" w:hAnsiTheme="minorHAnsi" w:cstheme="minorHAnsi"/>
          <w:i/>
          <w:sz w:val="24"/>
          <w:szCs w:val="24"/>
        </w:rPr>
      </w:pPr>
    </w:p>
    <w:p w:rsidR="00121A2A" w:rsidRDefault="00121A2A"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w:t>
            </w:r>
            <w:r w:rsidRPr="0096546F">
              <w:rPr>
                <w:rFonts w:asciiTheme="minorHAnsi" w:eastAsia="Times New Roman" w:hAnsiTheme="minorHAnsi" w:cstheme="minorHAnsi"/>
                <w:lang w:val="pt-BR"/>
              </w:rPr>
              <w:lastRenderedPageBreak/>
              <w:t>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w:t>
            </w:r>
            <w:r w:rsidRPr="0096546F">
              <w:rPr>
                <w:rFonts w:asciiTheme="minorHAnsi" w:eastAsia="Times New Roman" w:hAnsiTheme="minorHAnsi" w:cstheme="minorHAnsi"/>
                <w:lang w:val="it-IT"/>
              </w:rPr>
              <w:lastRenderedPageBreak/>
              <w:t xml:space="preserve">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lastRenderedPageBreak/>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lastRenderedPageBreak/>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lastRenderedPageBreak/>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1</w:t>
            </w:r>
            <w:r w:rsidRPr="0096546F">
              <w:rPr>
                <w:rFonts w:asciiTheme="minorHAnsi" w:hAnsiTheme="minorHAnsi" w:cstheme="minorHAnsi"/>
                <w:sz w:val="24"/>
              </w:rPr>
              <w:t xml:space="preserve"> Categoria de bunuri se regăseşte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007147DA">
              <w:rPr>
                <w:rFonts w:asciiTheme="minorHAnsi" w:hAnsiTheme="minorHAnsi" w:cstheme="minorHAnsi"/>
                <w:b/>
                <w:sz w:val="24"/>
              </w:rPr>
              <w:t xml:space="preserve"> </w:t>
            </w:r>
            <w:r w:rsidRPr="0096546F">
              <w:rPr>
                <w:rFonts w:asciiTheme="minorHAnsi" w:hAnsiTheme="minorHAnsi" w:cstheme="minorHAnsi"/>
                <w:spacing w:val="-4"/>
                <w:sz w:val="24"/>
                <w:lang w:val="pt-BR"/>
              </w:rPr>
              <w:t>Dacă la pct. 4.1 răspunsul este ”DA”, sunt ataşate extrasele tipărite din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lastRenderedPageBreak/>
              <w:t>3</w:t>
            </w:r>
            <w:r w:rsidRPr="0096546F">
              <w:rPr>
                <w:rFonts w:asciiTheme="minorHAnsi" w:hAnsiTheme="minorHAnsi" w:cstheme="minorHAnsi"/>
                <w:sz w:val="24"/>
                <w:lang w:val="it-IT"/>
              </w:rPr>
              <w:t xml:space="preserve"> Dacă la pct. 4.1. răspunsul este </w:t>
            </w:r>
            <w:r w:rsidRPr="0096546F">
              <w:rPr>
                <w:rFonts w:asciiTheme="minorHAnsi" w:hAnsiTheme="minorHAnsi" w:cstheme="minorHAnsi"/>
                <w:spacing w:val="-4"/>
                <w:sz w:val="24"/>
                <w:lang w:val="pt-BR"/>
              </w:rPr>
              <w:t>”DA”</w:t>
            </w:r>
            <w:r w:rsidRPr="0096546F">
              <w:rPr>
                <w:rFonts w:asciiTheme="minorHAnsi" w:hAnsiTheme="minorHAnsi" w:cstheme="minorHAnsi"/>
                <w:sz w:val="24"/>
                <w:lang w:val="it-IT"/>
              </w:rPr>
              <w:t>, preţurile utilizate pentru bunuri se încadrează în maximul prevăzut în Baza de Date?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4</w:t>
            </w:r>
            <w:r w:rsidR="007147DA">
              <w:rPr>
                <w:rFonts w:asciiTheme="minorHAnsi" w:hAnsiTheme="minorHAnsi" w:cstheme="minorHAnsi"/>
                <w:b/>
                <w:sz w:val="24"/>
              </w:rPr>
              <w:t xml:space="preserve"> </w:t>
            </w:r>
            <w:r w:rsidRPr="0096546F">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Pr="0096546F">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5</w:t>
            </w:r>
            <w:r w:rsidR="007147DA">
              <w:rPr>
                <w:rFonts w:asciiTheme="minorHAnsi" w:hAnsiTheme="minorHAnsi" w:cstheme="minorHAnsi"/>
                <w:b/>
                <w:sz w:val="24"/>
              </w:rPr>
              <w:t xml:space="preserve"> </w:t>
            </w:r>
            <w:r w:rsidRPr="0096546F">
              <w:rPr>
                <w:rFonts w:asciiTheme="minorHAnsi" w:hAnsiTheme="minorHAnsi" w:cstheme="minorHAnsi"/>
                <w:sz w:val="24"/>
                <w:lang w:val="it-IT"/>
              </w:rPr>
              <w:t xml:space="preserve">La fundamentarea costului investiţiei de bază s-a ţinut cont de </w:t>
            </w:r>
            <w:r w:rsidRPr="0096546F">
              <w:rPr>
                <w:rFonts w:asciiTheme="minorHAnsi" w:hAnsiTheme="minorHAnsi" w:cstheme="minorHAnsi"/>
                <w:spacing w:val="-10"/>
                <w:sz w:val="24"/>
              </w:rPr>
              <w:t>standardul de cost stabilit prin HG nr.</w:t>
            </w:r>
            <w:r w:rsidR="007147DA">
              <w:rPr>
                <w:rFonts w:asciiTheme="minorHAnsi" w:hAnsiTheme="minorHAnsi" w:cstheme="minorHAnsi"/>
                <w:spacing w:val="-10"/>
                <w:sz w:val="24"/>
              </w:rPr>
              <w:t xml:space="preserve"> </w:t>
            </w:r>
            <w:r w:rsidRPr="0096546F">
              <w:rPr>
                <w:rFonts w:asciiTheme="minorHAnsi" w:hAnsiTheme="minorHAnsi" w:cstheme="minorHAnsi"/>
                <w:spacing w:val="-10"/>
                <w:sz w:val="24"/>
              </w:rPr>
              <w:t xml:space="preserve">363/2010, cu modificările și completările ulterioare </w:t>
            </w:r>
            <w:r w:rsidRPr="0096546F">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şi ştampila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81E2C" w:rsidRPr="0096546F" w:rsidRDefault="00E81E2C" w:rsidP="00E81E2C">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w:t>
      </w:r>
      <w:r w:rsidRPr="0096546F">
        <w:rPr>
          <w:rFonts w:asciiTheme="minorHAnsi" w:eastAsia="Times New Roman" w:hAnsiTheme="minorHAnsi" w:cstheme="minorHAnsi"/>
          <w:bCs/>
          <w:lang w:eastAsia="fr-FR"/>
        </w:rPr>
        <w:lastRenderedPageBreak/>
        <w:t>pentru o perioadă minimă, stabilită în cadrul de implementare național (de ex., proiecte de cooperare).</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lastRenderedPageBreak/>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Pentru proiectele care vizează investiţii asupra obiectivelor de patrimoniu se verifică, în plus, existenţa documentaţiei specifice, precum și faptul 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 xml:space="preserve">•angajamentul de a suporta cheltuielile de întreţinere şi / sau reparare a investiţiei pe o </w:t>
            </w:r>
            <w:r w:rsidRPr="0096546F">
              <w:rPr>
                <w:rFonts w:asciiTheme="minorHAnsi" w:hAnsiTheme="minorHAnsi" w:cstheme="minorHAnsi"/>
                <w:lang w:val="pt-BR"/>
              </w:rPr>
              <w:lastRenderedPageBreak/>
              <w:t>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lastRenderedPageBreak/>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 xml:space="preserve">14. Dovada eliberata de Muzeul județean, prin care se certifica verificarea documentara și pe teren, daca este cazul, asupra unor interventii antropice cu caracter arheologic in perimetrul </w:t>
            </w:r>
            <w:r w:rsidRPr="0096546F">
              <w:rPr>
                <w:rFonts w:asciiTheme="minorHAnsi" w:hAnsiTheme="minorHAnsi" w:cstheme="minorHAnsi"/>
              </w:rPr>
              <w:lastRenderedPageBreak/>
              <w:t>aferent proiectului propus pentru finantare 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lastRenderedPageBreak/>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lastRenderedPageBreak/>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lastRenderedPageBreak/>
        <w:t>4. Localizarea proiectului de investiții este în spațiul LEADER acoperit de Grupul de Acțiune Locală care a selectat proiectul, așa cum este definit în fișa măsurii 19 din cadrul PNDR 2014 – 2020 și în Cap. 8.1 al PNDR 2014 – 2020?</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5. Proiectul pentru care s-a solicitat finanțare este încadrat corect în măsura în care se regăsesc obiectivele proiectului?</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6. Obiectivele și tipul de investiție/serviciu prezentate în Cererea de finanțare se încadrează în fișa măsurii din SDL?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7. Domeniul de intervenție în care a fost încadrat proiectul, prezentat în Cererea de finanțare, corespunde Domeniului de intervenție prezentat în SDL în cadrul măsurii respective?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8. Indicatorii de monitorizare specifici domeniului de intervenție pe care este încadrat proiectul, inclusiv cei specifici teritoriului (dacă este cazul), prevăzuți în fișa tehnică a măsurii din SDL,  sunt completaţi de către solicitant?</w:t>
      </w:r>
    </w:p>
    <w:p w:rsidR="00E81E2C" w:rsidRDefault="00E81E2C" w:rsidP="00E81E2C">
      <w:pPr>
        <w:overflowPunct w:val="0"/>
        <w:autoSpaceDE w:val="0"/>
        <w:autoSpaceDN w:val="0"/>
        <w:adjustRightInd w:val="0"/>
        <w:spacing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lastRenderedPageBreak/>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66749B" w:rsidRPr="0096546F" w:rsidRDefault="0066749B" w:rsidP="0066749B">
      <w:pPr>
        <w:shd w:val="clear" w:color="auto" w:fill="D9D9D9"/>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METODOLOGIA DE VERIFICARE SPECIFICĂ PENTRU PROIECTELE CU OBIECTIVE CARE SE ÎNCADREAZĂ ÎN PREVEDERILE ART. 17 ALIN. (1) LIT. c), ART. 20 ALIN. (1) LIT. B), c), d), e) și g)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w:t>
            </w:r>
            <w:r w:rsidRPr="0096546F">
              <w:rPr>
                <w:rFonts w:asciiTheme="minorHAnsi" w:hAnsiTheme="minorHAnsi" w:cstheme="minorHAnsi"/>
                <w:sz w:val="24"/>
              </w:rPr>
              <w:lastRenderedPageBreak/>
              <w:t>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Verificarea conformităţii şi eligibilităţii documentelor solicitate în 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Expertul verifică în Declaraţia pe proprie răspundere din secțiunea F din Cererea de finanțare dacă aceasta este  datată, semnată și, după caz, ștampilată.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declarația de la secțiunea F din cererea de finanțare nu este semnată și după caz ștampilată de către solicitant, expertul solicită acest lucru prin E3.4L şi doar în cazul în care solicitantul refuză să îşi asume angajamentele </w:t>
            </w:r>
            <w:r w:rsidRPr="0096546F">
              <w:rPr>
                <w:rFonts w:asciiTheme="minorHAnsi" w:hAnsiTheme="minorHAnsi" w:cstheme="minorHAnsi"/>
                <w:sz w:val="24"/>
              </w:rPr>
              <w:lastRenderedPageBreak/>
              <w:t>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Situațiile financiare aferente ultimului şi penultimului exercițiu financiar anual </w:t>
            </w:r>
            <w:r w:rsidRPr="0096546F">
              <w:rPr>
                <w:rFonts w:asciiTheme="minorHAnsi" w:hAnsiTheme="minorHAnsi" w:cstheme="minorHAnsi"/>
                <w:sz w:val="24"/>
              </w:rPr>
              <w:lastRenderedPageBreak/>
              <w:t>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lastRenderedPageBreak/>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w:t>
            </w:r>
            <w:r w:rsidRPr="0096546F">
              <w:rPr>
                <w:rFonts w:asciiTheme="minorHAnsi" w:hAnsiTheme="minorHAnsi" w:cstheme="minorHAnsi"/>
                <w:sz w:val="24"/>
              </w:rPr>
              <w:lastRenderedPageBreak/>
              <w:t xml:space="preserve">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ONG/ ADI: actul de </w:t>
            </w:r>
            <w:r w:rsidRPr="0096546F">
              <w:rPr>
                <w:rFonts w:asciiTheme="minorHAnsi" w:hAnsiTheme="minorHAnsi" w:cstheme="minorHAnsi"/>
                <w:sz w:val="24"/>
              </w:rPr>
              <w:lastRenderedPageBreak/>
              <w:t>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 xml:space="preserve">unităţile sanitare, unităţile de învăţământ şi alte instituţii publice care dezvoltă, la nivel comunitar, servicii sociale </w:t>
            </w:r>
            <w:r w:rsidRPr="0096546F">
              <w:rPr>
                <w:rFonts w:asciiTheme="minorHAnsi" w:hAnsiTheme="minorHAnsi" w:cstheme="minorHAnsi"/>
                <w:sz w:val="24"/>
              </w:rPr>
              <w:lastRenderedPageBreak/>
              <w:t>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Lista monumentelor istorice 2015, conform </w:t>
            </w:r>
            <w:r w:rsidRPr="0096546F">
              <w:rPr>
                <w:rFonts w:asciiTheme="minorHAnsi" w:hAnsiTheme="minorHAnsi" w:cstheme="minorHAnsi"/>
                <w:sz w:val="24"/>
              </w:rPr>
              <w:lastRenderedPageBreak/>
              <w:t>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Pr="0096546F"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(cu cazare). </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w:t>
            </w:r>
            <w:r w:rsidRPr="0096546F">
              <w:rPr>
                <w:rFonts w:asciiTheme="minorHAnsi" w:hAnsiTheme="minorHAnsi" w:cstheme="minorHAnsi"/>
                <w:sz w:val="24"/>
              </w:rPr>
              <w:lastRenderedPageBreak/>
              <w:t>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lastRenderedPageBreak/>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w:t>
      </w:r>
      <w:r w:rsidRPr="0096546F">
        <w:rPr>
          <w:rFonts w:asciiTheme="minorHAnsi" w:hAnsiTheme="minorHAnsi" w:cstheme="minorHAnsi"/>
          <w:sz w:val="24"/>
        </w:rPr>
        <w:lastRenderedPageBreak/>
        <w:t>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w:t>
            </w:r>
            <w:r w:rsidRPr="0096546F">
              <w:rPr>
                <w:rFonts w:asciiTheme="minorHAnsi" w:hAnsiTheme="minorHAnsi" w:cstheme="minorHAnsi"/>
                <w:sz w:val="24"/>
              </w:rPr>
              <w:lastRenderedPageBreak/>
              <w:t>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1.Studiul de Fezabilitate </w:t>
            </w:r>
            <w:r w:rsidRPr="0096546F">
              <w:rPr>
                <w:rFonts w:asciiTheme="minorHAnsi" w:hAnsiTheme="minorHAnsi" w:cstheme="minorHAnsi"/>
                <w:sz w:val="24"/>
                <w:szCs w:val="24"/>
                <w:lang w:eastAsia="fr-FR"/>
              </w:rPr>
              <w:lastRenderedPageBreak/>
              <w:t>/Documentaţia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lastRenderedPageBreak/>
              <w:t xml:space="preserve">Se verifică Bugetul indicativ din cererea de finanţare prin corelarea </w:t>
            </w:r>
            <w:r w:rsidRPr="0096546F">
              <w:rPr>
                <w:rFonts w:asciiTheme="minorHAnsi" w:hAnsiTheme="minorHAnsi" w:cstheme="minorHAnsi"/>
                <w:sz w:val="24"/>
                <w:szCs w:val="24"/>
                <w:lang w:eastAsia="fr-FR"/>
              </w:rPr>
              <w:lastRenderedPageBreak/>
              <w:t>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keepNext/>
        <w:keepLine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 Verificarea rezonabilităţii preţurilor.</w:t>
      </w:r>
    </w:p>
    <w:p w:rsidR="0066749B" w:rsidRPr="0096546F" w:rsidRDefault="0066749B" w:rsidP="0066749B">
      <w:pPr>
        <w:keepNext/>
        <w:keepLine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1. Prețurile utilizate la întocmirea devizelor se încadrează în prevederile                                   H.G. nr. 363/2010 cu completările şi modificările ulterioare ?</w:t>
      </w:r>
    </w:p>
    <w:p w:rsidR="0066749B" w:rsidRPr="0096546F" w:rsidRDefault="0066749B" w:rsidP="0066749B">
      <w:pPr>
        <w:keepNext/>
        <w:keepLines/>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66749B" w:rsidRPr="0096546F" w:rsidRDefault="0066749B" w:rsidP="0066749B">
      <w:pPr>
        <w:pStyle w:val="ListParagraph"/>
        <w:numPr>
          <w:ilvl w:val="0"/>
          <w:numId w:val="7"/>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66749B" w:rsidRPr="0096546F" w:rsidRDefault="0066749B" w:rsidP="0066749B">
      <w:pPr>
        <w:spacing w:before="120" w:after="120" w:line="240" w:lineRule="auto"/>
        <w:jc w:val="both"/>
        <w:rPr>
          <w:rFonts w:asciiTheme="minorHAnsi" w:hAnsiTheme="minorHAnsi" w:cstheme="minorHAnsi"/>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2. Pentru lucrări, există în SF/DALI declaraţia proiectantului semnată şi ştampilată privind sursa de preţuri ?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Expertul verifică existenţa precizărilor proiectantului privind  sursa de preţuri din Studiul de fezabilitate/DALI, dacă declaraţia este semnată şi ştampilată şi  bifează în caseta corespunzătoare DA sau NU.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66749B" w:rsidRPr="0096546F" w:rsidRDefault="0066749B" w:rsidP="0066749B">
      <w:pPr>
        <w:spacing w:before="120" w:after="120" w:line="240" w:lineRule="auto"/>
        <w:jc w:val="both"/>
        <w:rPr>
          <w:rFonts w:asciiTheme="minorHAnsi" w:hAnsiTheme="minorHAnsi" w:cstheme="minorHAnsi"/>
          <w:b/>
          <w:i/>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lastRenderedPageBreak/>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E81E2C" w:rsidRPr="001D0F2D" w:rsidRDefault="0066749B" w:rsidP="001D0F2D">
      <w:pPr>
        <w:spacing w:after="160" w:line="259" w:lineRule="auto"/>
        <w:rPr>
          <w:rFonts w:asciiTheme="minorHAnsi" w:hAnsiTheme="minorHAnsi" w:cstheme="minorHAnsi"/>
          <w:b/>
          <w:color w:val="0070C0"/>
          <w:sz w:val="28"/>
        </w:rPr>
      </w:pPr>
      <w:r>
        <w:rPr>
          <w:rFonts w:asciiTheme="minorHAnsi" w:hAnsiTheme="minorHAnsi" w:cstheme="minorHAnsi"/>
          <w:b/>
          <w:color w:val="0070C0"/>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2" w:name="_GoBack"/>
      <w:bookmarkEnd w:id="12"/>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49B" w:rsidRDefault="0066749B" w:rsidP="000C57EE">
      <w:pPr>
        <w:spacing w:after="0" w:line="240" w:lineRule="auto"/>
      </w:pPr>
      <w:r>
        <w:separator/>
      </w:r>
    </w:p>
  </w:endnote>
  <w:endnote w:type="continuationSeparator" w:id="1">
    <w:p w:rsidR="0066749B" w:rsidRDefault="0066749B"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1D0F2D" w:rsidRDefault="00C41B97">
        <w:pPr>
          <w:pStyle w:val="Footer"/>
        </w:pPr>
        <w:r w:rsidRPr="00C41B97">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1D0F2D" w:rsidRDefault="00C41B97">
                      <w:pPr>
                        <w:jc w:val="center"/>
                      </w:pPr>
                      <w:fldSimple w:instr=" PAGE    \* MERGEFORMAT ">
                        <w:r w:rsidR="005D2232" w:rsidRPr="005D2232">
                          <w:rPr>
                            <w:noProof/>
                            <w:color w:val="8C8C8C" w:themeColor="background1" w:themeShade="8C"/>
                          </w:rPr>
                          <w:t>1</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49B" w:rsidRDefault="0066749B" w:rsidP="000C57EE">
      <w:pPr>
        <w:spacing w:after="0" w:line="240" w:lineRule="auto"/>
      </w:pPr>
      <w:r>
        <w:separator/>
      </w:r>
    </w:p>
  </w:footnote>
  <w:footnote w:type="continuationSeparator" w:id="1">
    <w:p w:rsidR="0066749B" w:rsidRDefault="0066749B" w:rsidP="000C57EE">
      <w:pPr>
        <w:spacing w:after="0" w:line="240" w:lineRule="auto"/>
      </w:pPr>
      <w:r>
        <w:continuationSeparator/>
      </w:r>
    </w:p>
  </w:footnote>
  <w:footnote w:id="2">
    <w:p w:rsidR="0066749B" w:rsidRPr="00552D49" w:rsidRDefault="0066749B" w:rsidP="000C57EE">
      <w:pPr>
        <w:pStyle w:val="FootnoteText"/>
        <w:rPr>
          <w:lang w:val="fr-FR"/>
        </w:rPr>
      </w:pPr>
      <w:r>
        <w:rPr>
          <w:rStyle w:val="FootnoteReference"/>
        </w:rPr>
        <w:footnoteRef/>
      </w:r>
      <w:r>
        <w:rPr>
          <w:lang w:val="en-US"/>
        </w:rPr>
        <w:t xml:space="preserve">Această fișă se aplică proiectelor cu obiective care se încadrează în prevederile art. 20 alin. (1), lit.  f), dacă acestea conțin și investiții. </w:t>
      </w:r>
      <w:r w:rsidRPr="00552D49">
        <w:rPr>
          <w:lang w:val="fr-FR"/>
        </w:rPr>
        <w:t xml:space="preserve">În cazul în care proiectul conține doar servicii, acesta va fi tratat ca un proiect de servicii și se va aplica Fișa de evaluare generală aplicabilă art. 14, art. 16, art. 20 alin. (1) lit. </w:t>
      </w:r>
      <w:proofErr w:type="gramStart"/>
      <w:r w:rsidRPr="00552D49">
        <w:rPr>
          <w:lang w:val="fr-FR"/>
        </w:rPr>
        <w:t>a</w:t>
      </w:r>
      <w:proofErr w:type="gramEnd"/>
      <w:r w:rsidRPr="00552D49">
        <w:rPr>
          <w:lang w:val="fr-FR"/>
        </w:rPr>
        <w:t>), f)</w:t>
      </w:r>
      <w:r>
        <w:rPr>
          <w:lang w:val="en-US"/>
        </w:rPr>
        <w:footnoteRef/>
      </w:r>
      <w:r w:rsidRPr="00552D49">
        <w:rPr>
          <w:lang w:val="fr-FR"/>
        </w:rPr>
        <w:t>)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49B" w:rsidRDefault="0066749B">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66749B" w:rsidRPr="002A13DF" w:rsidTr="005D2232">
      <w:trPr>
        <w:trHeight w:val="103"/>
      </w:trPr>
      <w:tc>
        <w:tcPr>
          <w:tcW w:w="10536" w:type="dxa"/>
          <w:gridSpan w:val="3"/>
          <w:shd w:val="clear" w:color="auto" w:fill="auto"/>
        </w:tcPr>
        <w:p w:rsidR="0066749B" w:rsidRDefault="00C41B97" w:rsidP="000A0A2F">
          <w:pPr>
            <w:pStyle w:val="Header"/>
            <w:rPr>
              <w:b/>
              <w:color w:val="385623"/>
              <w:sz w:val="18"/>
              <w:szCs w:val="18"/>
            </w:rPr>
          </w:pPr>
          <w:r w:rsidRPr="00C41B97">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66749B" w:rsidRPr="00CE2F11">
            <w:rPr>
              <w:b/>
              <w:noProof/>
              <w:color w:val="385623"/>
              <w:sz w:val="18"/>
              <w:szCs w:val="18"/>
              <w:lang w:eastAsia="ro-RO"/>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66749B" w:rsidRDefault="0066749B"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66749B" w:rsidRPr="00934F59" w:rsidRDefault="0066749B"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66749B" w:rsidRPr="00934F59" w:rsidRDefault="0066749B"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66749B" w:rsidRPr="002A13DF" w:rsidTr="005D2232">
      <w:trPr>
        <w:gridBefore w:val="1"/>
        <w:gridAfter w:val="1"/>
        <w:wBefore w:w="50" w:type="dxa"/>
        <w:wAfter w:w="33" w:type="dxa"/>
        <w:trHeight w:val="114"/>
      </w:trPr>
      <w:tc>
        <w:tcPr>
          <w:tcW w:w="10453" w:type="dxa"/>
          <w:shd w:val="clear" w:color="auto" w:fill="385623"/>
        </w:tcPr>
        <w:p w:rsidR="0066749B" w:rsidRPr="002A13DF" w:rsidRDefault="0066749B"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66749B" w:rsidRDefault="006674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2">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3">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18">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5"/>
  </w:num>
  <w:num w:numId="2">
    <w:abstractNumId w:val="8"/>
  </w:num>
  <w:num w:numId="3">
    <w:abstractNumId w:val="10"/>
  </w:num>
  <w:num w:numId="4">
    <w:abstractNumId w:val="3"/>
  </w:num>
  <w:num w:numId="5">
    <w:abstractNumId w:val="17"/>
  </w:num>
  <w:num w:numId="6">
    <w:abstractNumId w:val="1"/>
  </w:num>
  <w:num w:numId="7">
    <w:abstractNumId w:val="7"/>
  </w:num>
  <w:num w:numId="8">
    <w:abstractNumId w:val="14"/>
  </w:num>
  <w:num w:numId="9">
    <w:abstractNumId w:val="12"/>
  </w:num>
  <w:num w:numId="10">
    <w:abstractNumId w:val="6"/>
  </w:num>
  <w:num w:numId="11">
    <w:abstractNumId w:val="18"/>
  </w:num>
  <w:num w:numId="12">
    <w:abstractNumId w:val="11"/>
  </w:num>
  <w:num w:numId="13">
    <w:abstractNumId w:val="9"/>
  </w:num>
  <w:num w:numId="14">
    <w:abstractNumId w:val="5"/>
  </w:num>
  <w:num w:numId="15">
    <w:abstractNumId w:val="4"/>
  </w:num>
  <w:num w:numId="16">
    <w:abstractNumId w:val="13"/>
  </w:num>
  <w:num w:numId="17">
    <w:abstractNumId w:val="16"/>
  </w:num>
  <w:num w:numId="18">
    <w:abstractNumId w:val="2"/>
  </w:num>
  <w:num w:numId="19">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15F3-B5D4-42B4-952A-9B004487E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70</Pages>
  <Words>20237</Words>
  <Characters>117378</Characters>
  <Application>Microsoft Office Word</Application>
  <DocSecurity>0</DocSecurity>
  <Lines>978</Lines>
  <Paragraphs>274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Utilizator Windows</cp:lastModifiedBy>
  <cp:revision>14</cp:revision>
  <dcterms:created xsi:type="dcterms:W3CDTF">2019-01-07T10:45:00Z</dcterms:created>
  <dcterms:modified xsi:type="dcterms:W3CDTF">2019-03-19T07:07:00Z</dcterms:modified>
</cp:coreProperties>
</file>